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before="200" w:after="120" w:afterLines="50" w:line="420" w:lineRule="exact"/>
        <w:ind w:left="-2" w:leftChars="-1"/>
        <w:jc w:val="center"/>
        <w:rPr>
          <w:rFonts w:hint="eastAsia" w:ascii="宋体" w:hAnsi="宋体" w:eastAsia="宋体" w:cs="宋体"/>
          <w:b/>
          <w:color w:val="000000"/>
          <w:spacing w:val="-10"/>
          <w:sz w:val="36"/>
          <w:szCs w:val="36"/>
          <w:lang w:val="zh-TW" w:eastAsia="zh-CN"/>
        </w:rPr>
      </w:pPr>
      <w:r>
        <w:rPr>
          <w:rFonts w:hint="eastAsia" w:ascii="宋体" w:hAnsi="宋体" w:cs="宋体"/>
          <w:b/>
          <w:color w:val="000000"/>
          <w:spacing w:val="-10"/>
          <w:sz w:val="36"/>
          <w:szCs w:val="36"/>
          <w:lang w:val="en-US" w:eastAsia="zh-CN"/>
        </w:rPr>
        <w:t>招招标公告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一、招标编号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：QLWX2024-04GK-002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二、招标名称：红外触控会议平板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及配套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三、招标内容：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1、采购内容：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采购100英寸电视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86英寸红外触控会议平板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指标参数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详见招标文件。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>.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交付周期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：合同签订15天内供货到指定地点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交货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地点：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招标方指定地点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4.付款方式：合同签订生效且投标方设备送达交货地点后一个月内，招标方支付合同额的50%（收到投标方开具的等额增值税专用发票后）。系统正式上线稳定运行1个月后，经招标方组织系统设施整体竣工检验合格，办理竣工验收手续，投标方开具合同结算费用余额的全部增值税专用发票，招标方支付至合同结算费用总额的95%；剩余5%作为质保金，一年质保期满且无质量异议，招标方在一个月内一次性付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结算方式：银行承兑或银行转账。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四、投标方资质要求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5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投标人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应符合并遵守其所属地和中国法律、法规及规章等的相关规定，具有独立承担民事责任的能力</w:t>
      </w:r>
      <w:r>
        <w:rPr>
          <w:rFonts w:hint="eastAsia" w:ascii="仿宋" w:hAnsi="仿宋" w:eastAsia="仿宋" w:cs="仿宋"/>
          <w:sz w:val="32"/>
          <w:szCs w:val="32"/>
        </w:rPr>
        <w:t>，具有良好的商业信誉和健全的财务会计制度等；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5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投标人须</w:t>
      </w:r>
      <w:r>
        <w:rPr>
          <w:rFonts w:hint="eastAsia" w:ascii="仿宋" w:hAnsi="仿宋" w:eastAsia="仿宋" w:cs="仿宋"/>
          <w:sz w:val="32"/>
          <w:szCs w:val="32"/>
        </w:rPr>
        <w:t>在中华人民共和国境内登记注册，持有合法营业执照，注册资本不少于人民币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00万元；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58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投标人具有履行合同必需的设备、专业技术、资质能力；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58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所供主要设备须按照招标文件要求提供原厂授权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文件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及售后服务承诺函；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58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投标人近三年承担过至少3个相关类似工程（须提供合同或者发票证明）。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58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投标人近三年内在经营活动中没有重大违法记录，提供书面声明；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58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投标人无不良信用信息记录（供应商自行查询）；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58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本项目不接受联合体报价；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580" w:lineRule="exact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如有单位资料造假，一经发现，立即在网上公示，并永久取消投标资格。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五、公告和报名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/>
        </w:rPr>
        <w:t>报名时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按照报名表（附件1）填写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/>
        </w:rPr>
        <w:t>相关信息并加盖单位公章，发送的电子邮件应是扫描件。将报名表发送邮箱：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911263297@QQ.COM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t>。报名后确认参加投标；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 xml:space="preserve">2、公告和报名时间：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29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日～202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 xml:space="preserve">日（北京时间）。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、资格审查方式：资格后审。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开标后，评标委员会对投标单位的资质文件进行评审。评审合格的投标文件进入商务标评审；评审不合格的按废标处理，投标商务文件将被退回，标书费不退。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七、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/>
        </w:rPr>
        <w:t>招标文件售价：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200元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名称：齐鲁卫星技术（山东）有限责任公司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开户行：齐鲁银行济南民生大街支行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账号：86611706101421003049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zh-CN"/>
        </w:rPr>
        <w:t>八、投标文件的递交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zh-CN"/>
        </w:rPr>
        <w:t>1、投标文件递交的截止时间（投标截止时间，下同）见招标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文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/>
        </w:rPr>
        <w:t>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zh-CN"/>
        </w:rPr>
        <w:t>2、逾期送达的、未送达指定地点的或者不按照招标文件要求密封的投标文件，招标人将予以拒收。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九、开标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1、开标时间：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9点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-SA"/>
        </w:rPr>
        <w:t>2、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开标地点：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见招标文件。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十、联系方式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1、招标联系人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：尉女士，联系电话：18654534990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2、业务（技术）联系人：于女士，联系电话：15562606652；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公告中的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招标内容和其他要求以最终的招标文件为准。</w:t>
      </w:r>
    </w:p>
    <w:p>
      <w:pPr>
        <w:pStyle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届时请参加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招标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的单位法定代表人或者法人委托人参与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投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标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        齐鲁卫星技术（山东）有限责任公司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  <w:t xml:space="preserve">           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  <w:t>月</w:t>
      </w:r>
    </w:p>
    <w:p>
      <w:r>
        <w:br w:type="page"/>
      </w:r>
    </w:p>
    <w:p>
      <w:pPr>
        <w:spacing w:before="135" w:line="219" w:lineRule="auto"/>
        <w:jc w:val="left"/>
        <w:outlineLvl w:val="0"/>
        <w:rPr>
          <w:rFonts w:hint="eastAsia" w:ascii="仿宋" w:hAnsi="仿宋" w:eastAsia="仿宋" w:cs="仿宋"/>
          <w:b/>
          <w:bCs/>
          <w:spacing w:val="-5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-5"/>
          <w:sz w:val="21"/>
          <w:szCs w:val="21"/>
          <w:lang w:val="en-US" w:eastAsia="zh-CN"/>
        </w:rPr>
        <w:t>附件1</w:t>
      </w:r>
    </w:p>
    <w:p>
      <w:pPr>
        <w:spacing w:before="135" w:line="219" w:lineRule="auto"/>
        <w:jc w:val="center"/>
        <w:outlineLvl w:val="0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pacing w:val="-5"/>
          <w:sz w:val="44"/>
          <w:szCs w:val="44"/>
        </w:rPr>
        <w:t>报名表</w:t>
      </w:r>
    </w:p>
    <w:p>
      <w:pPr>
        <w:spacing w:line="33" w:lineRule="exact"/>
      </w:pPr>
    </w:p>
    <w:tbl>
      <w:tblPr>
        <w:tblStyle w:val="16"/>
        <w:tblW w:w="90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3"/>
        <w:gridCol w:w="1189"/>
        <w:gridCol w:w="1564"/>
        <w:gridCol w:w="1412"/>
        <w:gridCol w:w="1448"/>
        <w:gridCol w:w="2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333" w:type="dxa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2753" w:type="dxa"/>
            <w:gridSpan w:val="2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招标编号</w:t>
            </w:r>
          </w:p>
        </w:tc>
        <w:tc>
          <w:tcPr>
            <w:tcW w:w="3581" w:type="dxa"/>
            <w:gridSpan w:val="2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333" w:type="dxa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2753" w:type="dxa"/>
            <w:gridSpan w:val="2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3581" w:type="dxa"/>
            <w:gridSpan w:val="2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333" w:type="dxa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法人</w:t>
            </w:r>
          </w:p>
        </w:tc>
        <w:tc>
          <w:tcPr>
            <w:tcW w:w="2753" w:type="dxa"/>
            <w:gridSpan w:val="2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3581" w:type="dxa"/>
            <w:gridSpan w:val="2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333" w:type="dxa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189" w:type="dxa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412" w:type="dxa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133" w:type="dxa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33" w:type="dxa"/>
            <w:vMerge w:val="restart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开票信息</w:t>
            </w:r>
          </w:p>
        </w:tc>
        <w:tc>
          <w:tcPr>
            <w:tcW w:w="7746" w:type="dxa"/>
            <w:gridSpan w:val="5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33" w:type="dxa"/>
            <w:vMerge w:val="continue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gridSpan w:val="5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税号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333" w:type="dxa"/>
            <w:vMerge w:val="continue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gridSpan w:val="5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单位地址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33" w:type="dxa"/>
            <w:vMerge w:val="continue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gridSpan w:val="5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电话号码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33" w:type="dxa"/>
            <w:vMerge w:val="continue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gridSpan w:val="5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开户银行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33" w:type="dxa"/>
            <w:vMerge w:val="continue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46" w:type="dxa"/>
            <w:gridSpan w:val="5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银行账户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522" w:type="dxa"/>
            <w:gridSpan w:val="2"/>
            <w:vAlign w:val="top"/>
          </w:tcPr>
          <w:p>
            <w:pPr>
              <w:spacing w:before="183" w:line="360" w:lineRule="auto"/>
              <w:ind w:left="22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资质名称</w:t>
            </w:r>
          </w:p>
        </w:tc>
        <w:tc>
          <w:tcPr>
            <w:tcW w:w="1564" w:type="dxa"/>
            <w:vAlign w:val="top"/>
          </w:tcPr>
          <w:p>
            <w:pPr>
              <w:spacing w:before="183" w:line="360" w:lineRule="auto"/>
              <w:ind w:left="22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等级</w:t>
            </w:r>
          </w:p>
        </w:tc>
        <w:tc>
          <w:tcPr>
            <w:tcW w:w="1412" w:type="dxa"/>
            <w:vAlign w:val="top"/>
          </w:tcPr>
          <w:p>
            <w:pPr>
              <w:spacing w:before="183" w:line="360" w:lineRule="auto"/>
              <w:ind w:left="22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发证机关</w:t>
            </w:r>
          </w:p>
        </w:tc>
        <w:tc>
          <w:tcPr>
            <w:tcW w:w="1448" w:type="dxa"/>
            <w:vAlign w:val="top"/>
          </w:tcPr>
          <w:p>
            <w:pPr>
              <w:spacing w:before="183" w:line="360" w:lineRule="auto"/>
              <w:ind w:left="22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证书编号</w:t>
            </w:r>
          </w:p>
        </w:tc>
        <w:tc>
          <w:tcPr>
            <w:tcW w:w="2133" w:type="dxa"/>
            <w:vAlign w:val="top"/>
          </w:tcPr>
          <w:p>
            <w:pPr>
              <w:spacing w:before="183" w:line="360" w:lineRule="auto"/>
              <w:ind w:left="22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有效期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22" w:type="dxa"/>
            <w:gridSpan w:val="2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522" w:type="dxa"/>
            <w:gridSpan w:val="2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522" w:type="dxa"/>
            <w:gridSpan w:val="2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522" w:type="dxa"/>
            <w:gridSpan w:val="2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079" w:type="dxa"/>
            <w:gridSpan w:val="6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基本情况介绍：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9079" w:type="dxa"/>
            <w:gridSpan w:val="6"/>
            <w:vAlign w:val="top"/>
          </w:tcPr>
          <w:p>
            <w:pPr>
              <w:spacing w:before="183" w:line="360" w:lineRule="auto"/>
              <w:ind w:left="22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主要服务内容：</w:t>
            </w:r>
          </w:p>
        </w:tc>
      </w:tr>
    </w:tbl>
    <w:p>
      <w:pPr>
        <w:spacing w:before="183" w:line="360" w:lineRule="auto"/>
        <w:ind w:left="22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招标文件费用回执</w:t>
      </w:r>
    </w:p>
    <w:p>
      <w:pPr>
        <w:spacing w:line="336" w:lineRule="auto"/>
        <w:rPr>
          <w:rFonts w:ascii="Arial"/>
          <w:sz w:val="21"/>
        </w:rPr>
      </w:pPr>
    </w:p>
    <w:sectPr>
      <w:pgSz w:w="11906" w:h="16838"/>
      <w:pgMar w:top="1701" w:right="147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E2C16F"/>
    <w:multiLevelType w:val="singleLevel"/>
    <w:tmpl w:val="6EE2C16F"/>
    <w:lvl w:ilvl="0" w:tentative="0">
      <w:start w:val="1"/>
      <w:numFmt w:val="decimal"/>
      <w:suff w:val="nothing"/>
      <w:lvlText w:val="%1、"/>
      <w:lvlJc w:val="left"/>
      <w:pPr>
        <w:ind w:left="584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MzJhODNlMDI5Y2YzZThiOTliOWY5YjJjMGVkYWQifQ=="/>
  </w:docVars>
  <w:rsids>
    <w:rsidRoot w:val="00D259F8"/>
    <w:rsid w:val="00D259F8"/>
    <w:rsid w:val="050D65F7"/>
    <w:rsid w:val="07EF6EB0"/>
    <w:rsid w:val="086257F1"/>
    <w:rsid w:val="09F34ACF"/>
    <w:rsid w:val="0DDE78FA"/>
    <w:rsid w:val="106C5F4C"/>
    <w:rsid w:val="119F0F1F"/>
    <w:rsid w:val="175D4E2C"/>
    <w:rsid w:val="181175E7"/>
    <w:rsid w:val="183B3024"/>
    <w:rsid w:val="1A024300"/>
    <w:rsid w:val="2367264E"/>
    <w:rsid w:val="2499461A"/>
    <w:rsid w:val="300C37CC"/>
    <w:rsid w:val="30594446"/>
    <w:rsid w:val="33835B1F"/>
    <w:rsid w:val="3E4800C5"/>
    <w:rsid w:val="47705F96"/>
    <w:rsid w:val="4F0214E2"/>
    <w:rsid w:val="534602CA"/>
    <w:rsid w:val="53E21FCA"/>
    <w:rsid w:val="558127D5"/>
    <w:rsid w:val="59DE12C0"/>
    <w:rsid w:val="626C1F7E"/>
    <w:rsid w:val="638965FE"/>
    <w:rsid w:val="679E4D0E"/>
    <w:rsid w:val="718C6D2B"/>
    <w:rsid w:val="72B3324B"/>
    <w:rsid w:val="73763E7C"/>
    <w:rsid w:val="76573DB4"/>
    <w:rsid w:val="768C6EAA"/>
    <w:rsid w:val="78F728CC"/>
    <w:rsid w:val="7A9C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99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autoRedefine/>
    <w:unhideWhenUsed/>
    <w:qFormat/>
    <w:uiPriority w:val="99"/>
    <w:pPr>
      <w:ind w:firstLine="420"/>
    </w:pPr>
  </w:style>
  <w:style w:type="paragraph" w:styleId="3">
    <w:name w:val="Body Text Indent"/>
    <w:basedOn w:val="1"/>
    <w:next w:val="1"/>
    <w:autoRedefine/>
    <w:semiHidden/>
    <w:qFormat/>
    <w:uiPriority w:val="99"/>
    <w:pPr>
      <w:spacing w:after="120"/>
      <w:ind w:left="420" w:leftChars="200"/>
    </w:pPr>
    <w:rPr>
      <w:sz w:val="22"/>
    </w:rPr>
  </w:style>
  <w:style w:type="paragraph" w:styleId="4">
    <w:name w:val="Body Text First Indent"/>
    <w:basedOn w:val="5"/>
    <w:autoRedefine/>
    <w:unhideWhenUsed/>
    <w:qFormat/>
    <w:uiPriority w:val="99"/>
    <w:pPr>
      <w:wordWrap/>
      <w:spacing w:line="240" w:lineRule="auto"/>
      <w:ind w:firstLine="420" w:firstLineChars="100"/>
      <w:jc w:val="both"/>
    </w:pPr>
    <w:rPr>
      <w:rFonts w:eastAsia="宋体"/>
      <w:sz w:val="21"/>
    </w:rPr>
  </w:style>
  <w:style w:type="paragraph" w:styleId="5">
    <w:name w:val="Body Text"/>
    <w:basedOn w:val="1"/>
    <w:next w:val="6"/>
    <w:autoRedefine/>
    <w:qFormat/>
    <w:uiPriority w:val="99"/>
    <w:pPr>
      <w:spacing w:after="120"/>
    </w:pPr>
    <w:rPr>
      <w:szCs w:val="24"/>
    </w:rPr>
  </w:style>
  <w:style w:type="paragraph" w:styleId="6">
    <w:name w:val="Title"/>
    <w:basedOn w:val="1"/>
    <w:next w:val="1"/>
    <w:autoRedefine/>
    <w:qFormat/>
    <w:uiPriority w:val="10"/>
    <w:pPr>
      <w:spacing w:before="240" w:after="240" w:line="480" w:lineRule="auto"/>
      <w:ind w:firstLine="200"/>
      <w:jc w:val="center"/>
      <w:outlineLvl w:val="0"/>
    </w:pPr>
    <w:rPr>
      <w:rFonts w:ascii="Arial Black" w:hAnsi="Arial Black" w:eastAsia="隶书" w:cs="Arial"/>
      <w:b/>
      <w:bCs/>
      <w:sz w:val="72"/>
      <w:szCs w:val="32"/>
    </w:rPr>
  </w:style>
  <w:style w:type="paragraph" w:styleId="7">
    <w:name w:val="toa heading"/>
    <w:basedOn w:val="1"/>
    <w:next w:val="1"/>
    <w:autoRedefine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8">
    <w:name w:val="toc 5"/>
    <w:basedOn w:val="1"/>
    <w:next w:val="1"/>
    <w:autoRedefine/>
    <w:qFormat/>
    <w:uiPriority w:val="0"/>
    <w:pPr>
      <w:ind w:left="840"/>
      <w:jc w:val="left"/>
    </w:pPr>
    <w:rPr>
      <w:rFonts w:ascii="Calibri" w:hAnsi="Calibri"/>
      <w:sz w:val="20"/>
      <w:szCs w:val="20"/>
    </w:rPr>
  </w:style>
  <w:style w:type="paragraph" w:styleId="9">
    <w:name w:val="toc 3"/>
    <w:basedOn w:val="1"/>
    <w:next w:val="1"/>
    <w:autoRedefine/>
    <w:qFormat/>
    <w:uiPriority w:val="99"/>
    <w:pPr>
      <w:ind w:left="420"/>
      <w:jc w:val="left"/>
    </w:pPr>
    <w:rPr>
      <w:iCs/>
      <w:sz w:val="20"/>
      <w:szCs w:val="20"/>
    </w:rPr>
  </w:style>
  <w:style w:type="paragraph" w:styleId="10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1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1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5">
    <w:name w:val="正文1"/>
    <w:basedOn w:val="1"/>
    <w:autoRedefine/>
    <w:qFormat/>
    <w:uiPriority w:val="0"/>
    <w:pPr>
      <w:adjustRightInd w:val="0"/>
      <w:spacing w:line="480" w:lineRule="exact"/>
      <w:textAlignment w:val="baseline"/>
    </w:pPr>
    <w:rPr>
      <w:rFonts w:ascii="Times New Roman" w:hAnsi="Times New Roman"/>
      <w:spacing w:val="-2"/>
      <w:kern w:val="0"/>
      <w:sz w:val="28"/>
      <w:szCs w:val="20"/>
    </w:rPr>
  </w:style>
  <w:style w:type="table" w:customStyle="1" w:styleId="1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2023-12-12T02:33:00Z</dcterms:created>
  <dc:creator>尉星</dc:creator>
  <cp:lastModifiedBy>尉星</cp:lastModifiedBy>
  <dcterms:modified xsi:type="dcterms:W3CDTF">2024-04-29T05:45:47Z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AEAB032D9CB84209A462561DE73FC86C_13</vt:lpwstr>
  </property>
</Properties>
</file>